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8"/>
        </w:rPr>
        <w:t>临泉县2022年县内教师流动工作方案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20" w:firstLineChars="200"/>
        <w:rPr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rPr>
          <w:rFonts w:hint="default" w:ascii="仿宋_GB2312" w:eastAsia="仿宋_GB2312"/>
          <w:b w:val="0"/>
          <w:bCs/>
          <w:color w:val="auto"/>
          <w:sz w:val="32"/>
          <w:szCs w:val="32"/>
        </w:rPr>
      </w:pPr>
      <w:r>
        <w:rPr>
          <w:rFonts w:ascii="仿宋_GB2312" w:eastAsia="仿宋_GB2312"/>
          <w:b w:val="0"/>
          <w:bCs/>
          <w:color w:val="auto"/>
          <w:sz w:val="32"/>
          <w:szCs w:val="32"/>
        </w:rPr>
        <w:t>为进一步加强教师队伍建设，完善教师正常流动机制，结合我县实际，制定如下方案：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/>
          <w:color w:val="auto"/>
          <w:sz w:val="32"/>
          <w:szCs w:val="32"/>
        </w:rPr>
        <w:t>流动原则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县内教师流动工作在中共临泉县委教育工作领导小组领导下，由县教育、人社、编制、财政等部门共同组织实施。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1.坚持空编可进、有序流动原则。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教师流动从学校教学实际需要出发，合理配置学科师资，确保学校教学工作正常开展。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2.坚持公开、公正、公平原则。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严格按工作程序办理，流动方案、流动限额及流动结果及时公开。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3.坚持年限控制原则。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农村教师申请流动到城区学校的须在我县农村任教满6年；乡镇之间平行、逆向流动须在我县任教满3年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正向流动、对调流动、城区教师申请流动到乡镇学校任教，不受任教年限限制。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4.坚持以人为本原则。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关爱一线教师，解决教师夫妻两地分居、回原籍照顾家庭、现役军人家庭等实际生活问题。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二、流动对象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全县在编在岗教师。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三、流动区域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根据地理条件，在全县范围内划分5个流动区域：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县城区（6个）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城关街道（城关中心校辖区、张营中心校辖区）、城东街道、城南街道、邢塘街道、田桥街道。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乡镇A区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单桥镇、杨桥镇、白庙镇、韦寨镇。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乡镇B区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（7个）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长官镇、黄岭镇、迎仙镇、谭棚镇、高塘镇（高塘中心校辖区、范兴集中心校辖区）、宋集镇（杨小街中心校辖区）。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乡镇C区（8个）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城镇（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城中心校辖区、庞营中心校辖区）、瓦店镇、姜寨镇、老集镇、滑集镇（滑集中心校辖区）、宋集镇（宋集中心校辖区）、张新镇。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乡镇D区（8个）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关庙镇、庙岔镇、陈集镇、艾亭镇、陶老乡、滑集镇（谢集中心校辖区）、土陂乡、吕寨镇。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四、流动限额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1.流出限额：根据编制情况，乡镇中心校、</w:t>
      </w:r>
      <w:r>
        <w:rPr>
          <w:rFonts w:hint="eastAsia" w:ascii="仿宋_GB2312" w:eastAsia="仿宋_GB2312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县直学校流出人数控制在现有教职工总数的2%。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2.流入限额：根据编制空缺情况合理设定，实行总量控制，单位流入人数最多不超过8人。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3.乡镇教师交流到城区学校总人数为45人。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五、流动类型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1.乡镇辖区内流动。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乡镇区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内教师流动不少于辖区教师总量的10%。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2.平行流动。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原则上乡镇教师同区域跨乡镇中心校（及所辖学校）之间流动（如A区甲乡镇学校到A区乙乡镇学校）。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3.正向流动。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从城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区向乡镇流动，乡镇A区向B、C、D区，或B区向C、D区，或C区向D区流动。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4.对调流动。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乡镇A、B、C、D区域之间，教师双方对调流动。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城区与乡镇之间不予对调。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5.逆向流动。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教师从乡镇D区向A、B、C区，或C区向A、B区，或B区向A区流动（不含乡镇教师向城区流动）。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仿宋_GB2312" w:hAnsi="楷体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6.向城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区流动。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乡镇教师符合相应条件，可申请向城区学校流动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另，根据拥军优属需要，开展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现役军人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配偶提出的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流动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六、流动办法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1.乡镇辖区内教师流动由中心校负责实施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2.平行流动与正向流动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楷体" w:hAnsi="楷体" w:eastAsia="仿宋_GB2312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本人申请，经流出、流入双方学校及乡镇中心（县直）学校校长签字同意，由流入乡镇中心（县直）学校在规定时限接收申请材料并汇总上报。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3.对调流动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楷体" w:hAnsi="楷体" w:eastAsia="仿宋_GB2312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对调双方自愿，不受乡镇区域、流出流入限额限制，对调双方年龄均需在45周岁以下（197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8月31日之后出生）。对调到中学的，需具备中学教师资格，除英语、音乐、体育、美术、信息等学科（以教师资格证书学科为准）需对应一致外，其余学科限制在大文大理范围内；中学到小学或小学到小学只要具备相应教师资格，可不受学科限制；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幼儿教师只允许与幼儿教师对调（以入职岗位为准）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。申请办法、程序同上。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双方对调后，三年内不得办理辞职、流动手续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4.逆向流动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（1）夫妻分居。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夫妻双方工作不在同一区域，一方为本县在编在岗教师，另一方为本县在编教师、公务员或其他事业单位在编在岗人员，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夫妻分居满5年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不能通过平行、正向等方式流动的，教师一方可申请通过逆向流动方式调入另一方所在乡镇（或邻近乡镇）学校任教。夫妻分居时间计算：结婚证登记时间早于申请人入编教育工作时间的，以申请人入编教育工作时间至公告发布之日为准计算分居年限；结婚证登记时间晚于申请人入编教育工作时间的，以结婚证登记时间至公告发布之日为准计算分居年限。办理时，提供夫妻双方身份证、结婚证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户口簿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，以及夫妻双方所在单位开具的工作情况证明。流出、流入双方学校及乡镇中心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学校校长签字同意，由流入乡镇中心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学校在规定时限接收申请材料，审核后汇总上报。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（2）回原籍照顾家庭（不含回城区，原籍指“原户籍”）。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申请人在我县乡镇任教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满6年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（时间计算截止至202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8月31日，下同），家庭确有困难需要照顾，不能通过平行、正向等方式回原籍的，可申请通过逆向流动方式调回原籍；原籍所在乡镇流入限额已满的，可申请调至原籍相邻限额未满乡镇任教。流出、流入双方学校及乡镇中心（县直）学校校长签字同意，由流入乡镇中心（县直）学校在规定时限接收申请材料，审核后汇总上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.乡镇教师向城区学校流动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b/>
          <w:color w:val="auto"/>
          <w:kern w:val="0"/>
          <w:sz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</w:rPr>
        <w:t>（1）资格资历条件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</w:rPr>
      </w:pPr>
      <w:r>
        <w:rPr>
          <w:rFonts w:hint="eastAsia" w:ascii="仿宋_GB2312" w:eastAsia="仿宋_GB2312"/>
          <w:color w:val="auto"/>
          <w:kern w:val="0"/>
          <w:sz w:val="32"/>
        </w:rPr>
        <w:t>A.在我县乡镇任教时间满6年（截至202</w:t>
      </w:r>
      <w:r>
        <w:rPr>
          <w:rFonts w:hint="eastAsia" w:ascii="仿宋_GB2312" w:eastAsiaTheme="minorEastAsia"/>
          <w:color w:val="auto"/>
          <w:kern w:val="0"/>
          <w:sz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</w:rPr>
        <w:t>年8月31日）；年龄不超过45周岁（197</w:t>
      </w:r>
      <w:r>
        <w:rPr>
          <w:rFonts w:hint="eastAsia" w:ascii="仿宋_GB2312" w:eastAsiaTheme="minorEastAsia"/>
          <w:color w:val="auto"/>
          <w:kern w:val="0"/>
          <w:sz w:val="32"/>
        </w:rPr>
        <w:t>6</w:t>
      </w:r>
      <w:r>
        <w:rPr>
          <w:rFonts w:hint="eastAsia" w:ascii="仿宋_GB2312" w:eastAsia="仿宋_GB2312"/>
          <w:color w:val="auto"/>
          <w:kern w:val="0"/>
          <w:sz w:val="32"/>
        </w:rPr>
        <w:t>年8月31日之后出生）。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</w:rPr>
      </w:pPr>
      <w:r>
        <w:rPr>
          <w:rFonts w:hint="eastAsia" w:ascii="仿宋_GB2312" w:eastAsia="仿宋_GB2312"/>
          <w:color w:val="auto"/>
          <w:kern w:val="0"/>
          <w:sz w:val="32"/>
        </w:rPr>
        <w:t>B.流入到小学的，须具备大专及以上学历，小学及以上教师资格；流入到初中的，须具备本科及以上学历，初中及以上教师资格。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rPr>
          <w:rFonts w:ascii="仿宋_GB2312" w:eastAsia="仿宋_GB2312"/>
          <w:b/>
          <w:bCs/>
          <w:color w:val="auto"/>
          <w:sz w:val="32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>（2）专业获奖符合下列条件之一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cs="仿宋_GB2312" w:eastAsiaTheme="minorEastAsia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年1月1日以来，</w:t>
      </w:r>
      <w:r>
        <w:rPr>
          <w:rFonts w:hint="eastAsia" w:ascii="仿宋_GB2312" w:eastAsia="仿宋_GB2312"/>
          <w:color w:val="auto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特级教师，市名师、学科带头人、骨干教师、教坛新星，县名师、学科带头人、骨干教师、县名班主任之一。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cs="仿宋_GB2312" w:eastAsiaTheme="minorEastAsia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月1日以来，学科优质课（课堂教学）评比、小学语文综合素养评比县级一等奖及以上获得者，音乐、美术、幼儿教师、信息技术、体育学科基本功评比获县级一等奖及以上获得者（市级一等奖以上不受年限限制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cs="仿宋_GB2312" w:eastAsiaTheme="minorEastAsia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年1月1日以来，多媒体教学大赛市级二等奖及以上获得者。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top"/>
        <w:rPr>
          <w:rFonts w:ascii="仿宋_GB2312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（3）岗位设置及认定考核办法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top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A.202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年城区学校亟需学科教师流入岗位，设置45名（见附件7）。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top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B.对申报材料县统一组织审核，并按综合认定细则量化赋分，分学科岗位从高分到低分依次选岗（综合认定细则见附件5）。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top"/>
        <w:rPr>
          <w:rFonts w:ascii="仿宋_GB2312" w:eastAsia="仿宋_GB2312"/>
          <w:b/>
          <w:color w:val="auto"/>
          <w:kern w:val="0"/>
          <w:sz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（4）</w:t>
      </w:r>
      <w:r>
        <w:rPr>
          <w:rFonts w:hint="eastAsia" w:ascii="仿宋_GB2312" w:eastAsia="仿宋_GB2312"/>
          <w:b/>
          <w:color w:val="auto"/>
          <w:kern w:val="0"/>
          <w:sz w:val="32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</w:rPr>
      </w:pPr>
      <w:r>
        <w:rPr>
          <w:rFonts w:hint="eastAsia" w:ascii="仿宋_GB2312" w:eastAsia="仿宋_GB2312"/>
          <w:color w:val="auto"/>
          <w:kern w:val="0"/>
          <w:sz w:val="32"/>
        </w:rPr>
        <w:t>按实际任教学段，每人限申报一个学科岗位。“县名班主任”申报学科岗位须与上学年度实际任教学段学科一致，其他申报学科岗位均需与获奖证书（或符合申报条件的荣誉称号）一致。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 w:themeColor="text1"/>
          <w:kern w:val="0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另，现役军人</w:t>
      </w:r>
      <w:r>
        <w:rPr>
          <w:rFonts w:hint="eastAsia" w:ascii="仿宋_GB2312" w:eastAsia="仿宋_GB2312" w:cs="Times New Roman"/>
          <w:b w:val="0"/>
          <w:bCs w:val="0"/>
          <w:color w:val="000000" w:themeColor="text1"/>
          <w:kern w:val="0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配偶</w:t>
      </w:r>
      <w:r>
        <w:rPr>
          <w:rFonts w:hint="eastAsia" w:ascii="仿宋_GB2312" w:hAnsi="Calibri" w:eastAsia="仿宋_GB2312" w:cs="Times New Roman"/>
          <w:b w:val="0"/>
          <w:bCs w:val="0"/>
          <w:color w:val="000000" w:themeColor="text1"/>
          <w:kern w:val="0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流动。不受乡镇区域、流出流入限额限制。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22"/>
          <w:lang w:val="en-US" w:eastAsia="zh-CN" w:bidi="ar-SA"/>
        </w:rPr>
        <w:t>流出、流入双方学校及中心（县直）学校</w:t>
      </w:r>
      <w:r>
        <w:rPr>
          <w:rFonts w:hint="eastAsia" w:ascii="仿宋_GB2312" w:eastAsia="仿宋_GB2312"/>
          <w:color w:val="auto"/>
          <w:sz w:val="32"/>
          <w:szCs w:val="32"/>
        </w:rPr>
        <w:t>校长签字同意，由流入乡镇（街道）中心（县直）学校在规定时限接收申请材料，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22"/>
          <w:lang w:val="en-US" w:eastAsia="zh-CN" w:bidi="ar-SA"/>
        </w:rPr>
        <w:t>经审核后汇总报请县委教育工作领导小组研究决定。</w:t>
      </w:r>
      <w:r>
        <w:rPr>
          <w:rFonts w:hint="eastAsia" w:ascii="仿宋_GB2312" w:eastAsia="仿宋_GB2312"/>
          <w:color w:val="auto"/>
          <w:sz w:val="32"/>
          <w:szCs w:val="32"/>
        </w:rPr>
        <w:t>提供材料：部队政治工作处来函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eastAsia="仿宋_GB2312"/>
          <w:color w:val="auto"/>
          <w:sz w:val="32"/>
          <w:szCs w:val="32"/>
        </w:rPr>
        <w:t>县武装部核实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&gt;</w:t>
      </w:r>
      <w:r>
        <w:rPr>
          <w:rFonts w:hint="eastAsia" w:ascii="仿宋_GB2312" w:eastAsia="仿宋_GB2312"/>
          <w:color w:val="auto"/>
          <w:sz w:val="32"/>
          <w:szCs w:val="32"/>
        </w:rPr>
        <w:t>个人调动申请、结婚证及家庭情况证明等。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</w:rPr>
        <w:t xml:space="preserve">6.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有下列情形之一的，不予流动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（1）除正向流动外，201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年1月1日以来县域内已流动，或外地流入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我县任教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不满3年的（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截至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年8月31日）；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（2）上年度考核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基本合格及以下等次的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（3）立案尚未结案的；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（4）受党政纪处分未满规定年限或受党政纪处分尚未解除的；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（5）法律、法规、制度另有规定的。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七、办理程序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1.本人申请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（1）乡镇区域间流动。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申请人填写《临泉县202</w:t>
      </w:r>
      <w:r>
        <w:rPr>
          <w:rFonts w:hint="eastAsia" w:ascii="仿宋_GB2312" w:eastAsiaTheme="minorEastAsia"/>
          <w:bCs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年县域内教师流动申请审核备案表》（见附件1），提供相应证件及证明材料，经流出学校、乡镇中心学校（县直学校）同意后，向流入学校申请流入。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（2）流动到城区学校。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申请人填写《临泉县202</w:t>
      </w:r>
      <w:r>
        <w:rPr>
          <w:rFonts w:hint="eastAsia" w:ascii="仿宋_GB2312" w:eastAsiaTheme="minorEastAsia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乡镇教师向城区流动申请备案表》（见附件2）。提供身份证、教师资格证、学历证书（原件及复印件）。提供荣誉及业务获奖证件（按类各取最高两项，原件及复印件，业务获奖批文复印件，学校验印）。由学校提供任教学段学科证明并附上学年度学校课程表、分工表（学校验印、负责人签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2.材料上报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（1）乡镇中心校辖区内教师流动。流动结果于202</w:t>
      </w:r>
      <w:r>
        <w:rPr>
          <w:rFonts w:hint="eastAsia" w:ascii="仿宋_GB2312" w:eastAsiaTheme="minorEastAsia"/>
          <w:b/>
          <w:bCs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年8月31日前报县教育局备案。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（2）</w:t>
      </w:r>
      <w:r>
        <w:rPr>
          <w:rFonts w:hint="eastAsia" w:ascii="仿宋_GB2312" w:eastAsia="仿宋_GB2312"/>
          <w:b/>
          <w:color w:val="auto"/>
          <w:kern w:val="0"/>
          <w:sz w:val="32"/>
          <w:szCs w:val="32"/>
        </w:rPr>
        <w:t>乡镇区域间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流动。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中心（县直）学校成立教师流动工作领导小组，校长任组长，在规定时间内安排专人在指定场所接收教师流出、流入申请材料。流出学校对申请流出教师，结合编制余缺、学科需求和教学工作需要，在流出限额内集体研究拟流出人员名单，校长签署流出意见并加盖学校公章。流入学校按照《临泉县202</w:t>
      </w:r>
      <w:r>
        <w:rPr>
          <w:rFonts w:hint="eastAsia" w:ascii="仿宋_GB2312" w:hAnsi="仿宋_GB2312" w:cs="仿宋_GB2312" w:eastAsiaTheme="minorEastAsia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年镇教师超限额流入量化标准》（见附件4），组织对申请流入教师逐人量化赋分，在流入限额内集体研究确定拟流入人员，量化赋分情况及拟同意流入人员名单要在校务公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栏公示，时间不少于3个工作日，公示无异议后，由校长签署意见，并分类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汇总在规定时限内报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教育部门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（3）乡镇教师向城区学校流动</w:t>
      </w:r>
      <w:r>
        <w:rPr>
          <w:rFonts w:hint="eastAsia" w:ascii="仿宋_GB2312" w:eastAsia="仿宋_GB2312"/>
          <w:color w:val="auto"/>
          <w:sz w:val="32"/>
          <w:szCs w:val="32"/>
        </w:rPr>
        <w:t>。在规定时间内，由教师本人持相关申请材料报</w:t>
      </w:r>
      <w:r>
        <w:rPr>
          <w:rFonts w:hint="eastAsia" w:ascii="仿宋_GB2312" w:eastAsia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县教育局</w:t>
      </w:r>
      <w:r>
        <w:rPr>
          <w:rFonts w:hint="eastAsia" w:ascii="仿宋_GB2312" w:eastAsia="仿宋_GB2312"/>
          <w:color w:val="auto"/>
          <w:sz w:val="32"/>
          <w:szCs w:val="32"/>
        </w:rPr>
        <w:t>，由县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教育、人社、编制、财政等部门</w:t>
      </w:r>
      <w:r>
        <w:rPr>
          <w:rFonts w:hint="eastAsia" w:ascii="仿宋_GB2312" w:eastAsia="仿宋_GB2312"/>
          <w:color w:val="auto"/>
          <w:sz w:val="32"/>
          <w:szCs w:val="32"/>
        </w:rPr>
        <w:t>审核汇总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3.确定初步流动人选。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7月15日前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县教育部门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组织人员对学校上报的拟流动人员流动材料进行初核。对申请向城区学校流动，按综合认定细则量化赋分，分学科岗位从高分到低分依次选岗。原则上选岗工作务必于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日前结束。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4.复核公示。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县人社、教育、编制、财政等部门组织人员对初步流动人选及岗位设置进行复核。拟流动人员经县委教育工作领导小组研究同意后予以在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政府网公示。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5.办理流动。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经公示无异议后，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流动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县委编委会同意后办理流动相关手续。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八、有关要求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1.要高度重视。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教师流动工作是广大教师关注的热点，也是县委、县政府为帮助教师解决生活困难而实施的一项暖心工程。各学校务必要做好宣传和教师思想政治工作，把好事办好。各乡镇街道中心学校（县直学校）要成立工作组织，主要负责人任组长，指定专人具办教师流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2.要严格程序。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各校可以根据教师流入、流出限额及教学工作需要，确定申请流动人员是否流出或流入。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如果拟流出、流入人员超出限额的，由乡镇中心（县直）学校确定拟流出、流入人选。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遴选时，同等条件下，正向流动、夫妻分居、回原籍者、骨干教师、参加教育工作年限依次优先。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3.要严明纪律。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教师流动工作要服务于全县教育工作大局，既要在条件允许的情况下，尽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可能地方便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教师生活，又不得影响学校正常教学。对因工作需要等原因不能流出、流入的人员，学校要做好深入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细致地说服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、解释工作。同时，要加强公示，接受监督，不得徇私舞弊，确保流动工作公开、公平、公正。如有弄虚作假，提供假证书、假证明等材料的，一经查实，取消流动资格，当年师德考核直接定为不合格。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4.要加强管理。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流动人员务必于8月25日前到流入学校报到。流动人员实行聘任管理。调入人员专业技术职务岗位等级按有关规定执行。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本方案由县委教育工作领导小组秘书组负责解释。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附件：1.临泉县202</w:t>
      </w:r>
      <w:r>
        <w:rPr>
          <w:rFonts w:hint="eastAsia" w:ascii="仿宋_GB2312" w:eastAsiaTheme="minorEastAsia"/>
          <w:color w:val="auto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年县域内教师流动申请审核备案表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2.临泉县202</w:t>
      </w:r>
      <w:r>
        <w:rPr>
          <w:rFonts w:hint="eastAsia" w:ascii="仿宋_GB2312" w:eastAsiaTheme="minorEastAsia"/>
          <w:color w:val="auto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年乡镇教师向城区流动申请备案表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ascii="仿宋_GB2312" w:eastAsia="仿宋_GB2312"/>
          <w:color w:val="auto"/>
          <w:spacing w:val="-6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3.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  <w:u w:color="000000"/>
        </w:rPr>
        <w:t>临泉县202</w:t>
      </w:r>
      <w:r>
        <w:rPr>
          <w:rFonts w:hint="eastAsia" w:ascii="仿宋_GB2312" w:eastAsiaTheme="minorEastAsia"/>
          <w:color w:val="auto"/>
          <w:spacing w:val="-6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  <w:u w:color="000000"/>
        </w:rPr>
        <w:t>年教师县内流动流出、流入限额控制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ascii="仿宋_GB2312" w:eastAsia="仿宋_GB2312"/>
          <w:color w:val="auto"/>
          <w:spacing w:val="-17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4.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color="000000"/>
        </w:rPr>
        <w:t>临泉县202</w:t>
      </w:r>
      <w:r>
        <w:rPr>
          <w:rFonts w:hint="eastAsia" w:ascii="仿宋_GB2312" w:eastAsiaTheme="minorEastAsia"/>
          <w:color w:val="auto"/>
          <w:spacing w:val="-17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color="000000"/>
        </w:rPr>
        <w:t>年乡镇教师超限额流入量化标准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ascii="仿宋_GB2312" w:eastAsia="仿宋_GB2312"/>
          <w:color w:val="auto"/>
          <w:spacing w:val="-23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5.</w:t>
      </w:r>
      <w:r>
        <w:rPr>
          <w:rFonts w:hint="eastAsia" w:ascii="仿宋_GB2312" w:eastAsia="仿宋_GB2312"/>
          <w:color w:val="auto"/>
          <w:spacing w:val="-23"/>
          <w:kern w:val="0"/>
          <w:sz w:val="32"/>
          <w:szCs w:val="32"/>
          <w:u w:color="000000"/>
        </w:rPr>
        <w:t>临泉县202</w:t>
      </w:r>
      <w:r>
        <w:rPr>
          <w:rFonts w:hint="eastAsia" w:ascii="仿宋_GB2312" w:eastAsiaTheme="minorEastAsia"/>
          <w:color w:val="auto"/>
          <w:spacing w:val="-23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spacing w:val="-23"/>
          <w:kern w:val="0"/>
          <w:sz w:val="32"/>
          <w:szCs w:val="32"/>
          <w:u w:color="000000"/>
        </w:rPr>
        <w:t>年乡镇教师向城区流动超限额综合认定细则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6.乡镇教师向城区流动申请材料目录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7.临泉县202</w:t>
      </w:r>
      <w:r>
        <w:rPr>
          <w:rFonts w:hint="eastAsia" w:ascii="仿宋_GB2312" w:eastAsiaTheme="minorEastAsia"/>
          <w:color w:val="auto"/>
          <w:kern w:val="0"/>
          <w:sz w:val="32"/>
          <w:szCs w:val="32"/>
          <w:u w:color="000000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  <w:t>年城区学校选调教师岗位学科设置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rPr>
          <w:rFonts w:hint="eastAsia" w:ascii="仿宋_GB2312" w:eastAsia="仿宋_GB2312"/>
          <w:color w:val="auto"/>
          <w:kern w:val="0"/>
          <w:sz w:val="32"/>
          <w:szCs w:val="32"/>
          <w:u w:color="00000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right"/>
        <w:rPr>
          <w:rFonts w:hint="default" w:ascii="仿宋_GB2312" w:eastAsia="仿宋_GB2312"/>
          <w:color w:val="auto"/>
          <w:kern w:val="0"/>
          <w:sz w:val="32"/>
          <w:szCs w:val="32"/>
          <w:u w:color="000000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right"/>
        <w:rPr>
          <w:rFonts w:hint="default" w:ascii="仿宋_GB2312" w:eastAsia="仿宋_GB2312"/>
          <w:color w:val="auto"/>
          <w:kern w:val="0"/>
          <w:sz w:val="32"/>
          <w:szCs w:val="32"/>
          <w:u w:color="000000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right"/>
        <w:rPr>
          <w:rFonts w:hint="default" w:ascii="仿宋_GB2312" w:eastAsia="仿宋_GB2312"/>
          <w:color w:val="auto"/>
          <w:kern w:val="0"/>
          <w:sz w:val="32"/>
          <w:szCs w:val="32"/>
          <w:u w:color="000000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right"/>
        <w:rPr>
          <w:rFonts w:hint="default" w:ascii="仿宋_GB2312" w:eastAsia="仿宋_GB2312"/>
          <w:color w:val="auto"/>
          <w:kern w:val="0"/>
          <w:sz w:val="32"/>
          <w:szCs w:val="32"/>
          <w:u w:color="000000"/>
          <w:lang w:val="en-US"/>
        </w:rPr>
      </w:pPr>
    </w:p>
    <w:p>
      <w:pPr>
        <w:spacing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</w:p>
    <w:p>
      <w:pPr>
        <w:spacing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</w:p>
    <w:p>
      <w:pPr>
        <w:spacing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</w:pPr>
    </w:p>
    <w:p>
      <w:pPr>
        <w:spacing w:line="576" w:lineRule="exact"/>
        <w:ind w:firstLine="1600" w:firstLineChars="500"/>
        <w:rPr>
          <w:rFonts w:ascii="仿宋_GB2312" w:eastAsia="仿宋_GB2312"/>
          <w:color w:val="auto"/>
          <w:kern w:val="0"/>
          <w:sz w:val="32"/>
          <w:szCs w:val="32"/>
          <w:u w:color="000000"/>
        </w:rPr>
        <w:sectPr>
          <w:footerReference r:id="rId4" w:type="first"/>
          <w:footerReference r:id="rId3" w:type="default"/>
          <w:pgSz w:w="11906" w:h="16838"/>
          <w:pgMar w:top="2098" w:right="1587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2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-451485</wp:posOffset>
                </wp:positionV>
                <wp:extent cx="847090" cy="4197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4030" y="325120"/>
                          <a:ext cx="84709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-35.55pt;height:33.05pt;width:66.7pt;z-index:251659264;mso-width-relative:page;mso-height-relative:page;" filled="f" stroked="f" coordsize="21600,21600" o:gfxdata="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0v4yNoAAAAKAQAADwAAAAAA&#10;AAABACAAAAAiAAAAZHJzL2Rvd25yZXYueG1sUEsBAhQAFAAAAAgAh07iQNYBOg1KAgAAf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临泉县2022年县域内教师流动申请审核备案表</w:t>
      </w:r>
    </w:p>
    <w:p>
      <w:pPr>
        <w:spacing w:line="576" w:lineRule="exact"/>
        <w:jc w:val="center"/>
        <w:rPr>
          <w:rFonts w:ascii="楷体_GB2312" w:hAnsi="仿宋_GB2312" w:eastAsia="楷体_GB2312" w:cs="仿宋_GB2312"/>
          <w:color w:val="auto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>（不含乡镇向城区流动）</w:t>
      </w:r>
    </w:p>
    <w:tbl>
      <w:tblPr>
        <w:tblStyle w:val="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31"/>
        <w:gridCol w:w="371"/>
        <w:gridCol w:w="181"/>
        <w:gridCol w:w="598"/>
        <w:gridCol w:w="853"/>
        <w:gridCol w:w="268"/>
        <w:gridCol w:w="820"/>
        <w:gridCol w:w="168"/>
        <w:gridCol w:w="145"/>
        <w:gridCol w:w="226"/>
        <w:gridCol w:w="715"/>
        <w:gridCol w:w="192"/>
        <w:gridCol w:w="360"/>
        <w:gridCol w:w="1086"/>
        <w:gridCol w:w="549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59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入编任教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现工作单位（全称）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93" w:hRule="atLeas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教师资格学段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教师资格学科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现任教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学段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现任教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申请流入乡镇、学校（全称）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1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原籍地乡镇（街道）</w:t>
            </w:r>
          </w:p>
        </w:tc>
        <w:tc>
          <w:tcPr>
            <w:tcW w:w="48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27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8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婚姻情况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4"/>
                <w:szCs w:val="24"/>
              </w:rPr>
              <w:t>（夫妻分居流动类别填写）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婚姻方姓名</w:t>
            </w:r>
          </w:p>
        </w:tc>
        <w:tc>
          <w:tcPr>
            <w:tcW w:w="289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婚姻方工作单位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婚姻方工作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结婚登记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47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现工作地址、工作单位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父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7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6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母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7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夫（妻）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7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12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动类别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及理由</w:t>
            </w:r>
          </w:p>
        </w:tc>
        <w:tc>
          <w:tcPr>
            <w:tcW w:w="7866" w:type="dxa"/>
            <w:gridSpan w:val="15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申请流动类别：</w:t>
            </w:r>
          </w:p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申请流动理由：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40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流出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中心（县直）学校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259" w:type="dxa"/>
            <w:gridSpan w:val="7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（签字）：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日（章）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流入</w:t>
            </w:r>
          </w:p>
          <w:p>
            <w:pPr>
              <w:spacing w:line="320" w:lineRule="exact"/>
              <w:ind w:firstLine="240" w:firstLineChars="10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中心（县直）学校意见</w:t>
            </w:r>
          </w:p>
        </w:tc>
        <w:tc>
          <w:tcPr>
            <w:tcW w:w="3521" w:type="dxa"/>
            <w:gridSpan w:val="5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（签字）：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日（章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02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县级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66" w:type="dxa"/>
            <w:gridSpan w:val="15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审核人（签字）：                                   年   月  日（章）</w:t>
            </w:r>
          </w:p>
        </w:tc>
      </w:tr>
    </w:tbl>
    <w:p>
      <w:pPr>
        <w:spacing w:line="576" w:lineRule="exac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说明：此表填写一式两份，上报一份，流入学校保留一份。 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</w:pP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-468630</wp:posOffset>
                </wp:positionV>
                <wp:extent cx="875665" cy="441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705" y="239395"/>
                          <a:ext cx="87566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5pt;margin-top:-36.9pt;height:34.75pt;width:68.95pt;z-index:251660288;mso-width-relative:page;mso-height-relative:page;" filled="f" stroked="f" coordsize="21600,21600" o:gfxdata="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LzRUPbAAAACgEAAA8A&#10;AAAAAAAAAQAgAAAAIgAAAGRycy9kb3ducmV2LnhtbFBLAQIUABQAAAAIAIdO4kBPepZNTQIAAH0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  <w:t>临泉县2022年乡镇教师向城区流动申请备案表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shd w:val="clear" w:color="auto" w:fill="FFFFFF"/>
        </w:rPr>
      </w:pPr>
    </w:p>
    <w:tbl>
      <w:tblPr>
        <w:tblStyle w:val="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63"/>
        <w:gridCol w:w="662"/>
        <w:gridCol w:w="205"/>
        <w:gridCol w:w="1244"/>
        <w:gridCol w:w="1273"/>
        <w:gridCol w:w="1073"/>
        <w:gridCol w:w="118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任教学段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任教学科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申请流入学校及岗位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8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3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符合流动条件奖项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时   间</w:t>
            </w: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获奖（荣誉称号）名称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层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我承诺所填写信息真实有效，所获得奖励系本人取得，如有虚假，原承担一切责任。 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承诺人签字：                       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基层学校意见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负责人签字：                          </w:t>
            </w:r>
          </w:p>
          <w:p>
            <w:pPr>
              <w:spacing w:line="320" w:lineRule="exact"/>
              <w:ind w:firstLine="3840" w:firstLineChars="16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   月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中心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（县直）学校意见</w:t>
            </w:r>
          </w:p>
        </w:tc>
        <w:tc>
          <w:tcPr>
            <w:tcW w:w="7957" w:type="dxa"/>
            <w:gridSpan w:val="8"/>
            <w:vAlign w:val="bottom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负责人签字：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年   月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县级审核意见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审核人（签字）：                        年    月   日（章）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</w:rPr>
        <w:sectPr>
          <w:pgSz w:w="11905" w:h="16838"/>
          <w:pgMar w:top="1417" w:right="1417" w:bottom="1417" w:left="1417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28" w:charSpace="0"/>
        </w:sectPr>
      </w:pPr>
      <w:r>
        <w:rPr>
          <w:rFonts w:hint="eastAsia" w:ascii="楷体" w:hAnsi="楷体" w:eastAsia="楷体" w:cs="楷体"/>
          <w:color w:val="auto"/>
          <w:sz w:val="24"/>
        </w:rPr>
        <w:t xml:space="preserve">说明：此表填写一式两份，上报一份，流入学校保留一份。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临泉县2022年教师县内流动流出流入限额控制</w:t>
      </w:r>
    </w:p>
    <w:tbl>
      <w:tblPr>
        <w:tblStyle w:val="5"/>
        <w:tblW w:w="9958" w:type="dxa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309"/>
        <w:gridCol w:w="1499"/>
        <w:gridCol w:w="1918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9" w:leftChars="-47" w:right="-126" w:rightChars="-6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流出限额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9" w:leftChars="-47" w:right="-126" w:rightChars="-6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（2%）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综合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艾亭中心校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白庙中心校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单桥中心校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高塘中心校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关庙中心校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滑集中心校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滑集中学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黄岭中心校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姜寨中心校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吕寨中心校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庙岔中心校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庞营中心校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谭棚中心校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陶老中心校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鲖城中心校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土陂中心校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瓦店中心校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韦寨中心校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谢集中心校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" w:leftChars="-76" w:right="-78" w:rightChars="-37" w:hanging="144" w:hangingChars="72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杨小街中心校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" w:leftChars="-76" w:right="-78" w:rightChars="-37" w:hanging="144" w:hangingChars="72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迎仙中心校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张集中学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长官中心校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注：本限额控制不包括农村骨干教师选调进城和现役军人家属流动。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</w:rPr>
        <w:sectPr>
          <w:pgSz w:w="11905" w:h="16838"/>
          <w:pgMar w:top="1134" w:right="1134" w:bottom="1134" w:left="113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31" w:charSpace="0"/>
        </w:sectPr>
      </w:pPr>
    </w:p>
    <w:p>
      <w:pPr>
        <w:widowControl/>
        <w:shd w:val="clear" w:color="auto" w:fill="FFFFFF"/>
        <w:spacing w:line="576" w:lineRule="exact"/>
        <w:ind w:firstLine="440" w:firstLineChars="100"/>
        <w:jc w:val="center"/>
        <w:rPr>
          <w:rFonts w:ascii="黑体" w:hAnsi="黑体" w:eastAsia="黑体" w:cs="黑体"/>
          <w:color w:val="auto"/>
          <w:spacing w:val="20"/>
          <w:kern w:val="0"/>
          <w:sz w:val="44"/>
          <w:szCs w:val="44"/>
          <w:shd w:val="clear" w:color="auto" w:fill="FFFFFF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-386715</wp:posOffset>
                </wp:positionV>
                <wp:extent cx="838200" cy="46228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4565" y="572770"/>
                          <a:ext cx="8382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pt;margin-top:-30.45pt;height:36.4pt;width:66pt;z-index:251661312;mso-width-relative:page;mso-height-relative:page;" filled="f" stroked="f" coordsize="21600,21600" o:gfxdata="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RmPFfaAAAACQEAAA8AAAAA&#10;AAAAAQAgAAAAIgAAAGRycy9kb3ducmV2LnhtbFBLAQIUABQAAAAIAIdO4kCUX6hmSwIAAH0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  <w:t>临泉县2022年乡镇教师超限额流入量化标准</w:t>
      </w:r>
    </w:p>
    <w:tbl>
      <w:tblPr>
        <w:tblStyle w:val="6"/>
        <w:tblpPr w:leftFromText="180" w:rightFromText="180" w:vertAnchor="text" w:horzAnchor="page" w:tblpXSpec="center" w:tblpY="185"/>
        <w:tblOverlap w:val="never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76"/>
        <w:gridCol w:w="7589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  <w:t>项目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  <w:t>分值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  <w:t>量 化 分 值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任教年限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6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在我县农村任教满6年记2分，每增加1年记0.3分，最高6分。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特岗及三支一扶任教时间计入任教年限，人事代理、民办学校任教及在外县任教时间不予计算。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艰苦岗位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3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按流动区域划分，乡镇B、C、D区分别记1、2、3分。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按现在工作乡镇区域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夫妻分居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10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夫妻分居满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年记5分，每增加1年记1分，最高10分。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夫妻分居时间计算按方案说明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回原籍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10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回本人户籍乡镇，在我县乡镇任教满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年记5分，每增加1年记1分；回本人户籍相邻乡镇，在我县任教满10年记3分，每增加1年记0.5分。最高10分。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依据本人有效居民身份证，或本人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户口簿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（证明迁出前本人户籍乡镇），或其他有效证明材料。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年度考核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6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近3年考核均为合格等次记3分，每1个优秀等次加1分，最高6分。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依据2019、2020、2021年度考核结果人社部门备案文件。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荣誉类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000000"/>
              </w:rPr>
              <w:t>15</w:t>
            </w:r>
          </w:p>
        </w:tc>
        <w:tc>
          <w:tcPr>
            <w:tcW w:w="7589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省特级教师15分，省教坛新星14分；市名师12分，市教坛新星、市学科带头人11分，市骨干教师10分；县名师8分，县学科带头人7分，县骨干教师（县名班主任）6分。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按最高项记分，其余不再计分。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pacing w:val="17"/>
          <w:kern w:val="0"/>
          <w:sz w:val="44"/>
          <w:szCs w:val="44"/>
          <w:shd w:val="clear" w:color="auto" w:fill="FFFFFF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-361315</wp:posOffset>
                </wp:positionV>
                <wp:extent cx="845185" cy="3829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0240" y="534670"/>
                          <a:ext cx="84518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pt;margin-top:-28.45pt;height:30.15pt;width:66.55pt;z-index:251662336;mso-width-relative:page;mso-height-relative:page;" filled="f" stroked="f" coordsize="21600,21600" o:gfxdata="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DjSg/aAAAACQEAAA8AAAAA&#10;AAAAAQAgAAAAIgAAAGRycy9kb3ducmV2LnhtbFBLAQIUABQAAAAIAIdO4kB4X0T2SwIAAH0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pacing w:val="17"/>
          <w:kern w:val="0"/>
          <w:sz w:val="44"/>
          <w:szCs w:val="44"/>
          <w:shd w:val="clear" w:color="auto" w:fill="FFFFFF"/>
        </w:rPr>
        <w:t>临泉县2022年乡镇教师向城区流动超限额综合认定细则</w:t>
      </w:r>
    </w:p>
    <w:p>
      <w:pPr>
        <w:spacing w:line="576" w:lineRule="exact"/>
        <w:ind w:firstLine="217" w:firstLineChars="68"/>
        <w:jc w:val="left"/>
        <w:rPr>
          <w:rFonts w:ascii="黑体" w:hAnsi="黑体" w:eastAsia="黑体" w:cs="黑体"/>
          <w:bCs/>
          <w:color w:val="auto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pacing w:val="20"/>
          <w:sz w:val="28"/>
          <w:szCs w:val="28"/>
        </w:rPr>
        <w:t>一、综合认定项目及量化标准</w:t>
      </w:r>
    </w:p>
    <w:tbl>
      <w:tblPr>
        <w:tblStyle w:val="5"/>
        <w:tblW w:w="14838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06"/>
        <w:gridCol w:w="1172"/>
        <w:gridCol w:w="1301"/>
        <w:gridCol w:w="931"/>
        <w:gridCol w:w="1747"/>
        <w:gridCol w:w="1536"/>
        <w:gridCol w:w="1943"/>
        <w:gridCol w:w="2051"/>
        <w:gridCol w:w="176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6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  <w:t>量 化 分 值</w:t>
            </w:r>
          </w:p>
        </w:tc>
        <w:tc>
          <w:tcPr>
            <w:tcW w:w="57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0"/>
                <w:szCs w:val="20"/>
              </w:rPr>
              <w:t>备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任教年限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6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100" w:firstLineChars="50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任教时间满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年记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分，每增加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年记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0.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3分，最高6分。</w:t>
            </w:r>
          </w:p>
        </w:tc>
        <w:tc>
          <w:tcPr>
            <w:tcW w:w="57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特岗及三支一服任教时间可计入任教年限，未入编前的人事代理年限和民办学校任教时间不予计算。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艰苦岗位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6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100" w:firstLineChars="5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按自然区域：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C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区分别记1、2、3分。</w:t>
            </w:r>
          </w:p>
        </w:tc>
        <w:tc>
          <w:tcPr>
            <w:tcW w:w="57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2007" w:firstLineChars="1004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2249805" cy="422275"/>
                      <wp:effectExtent l="635" t="4445" r="16510" b="1143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805" cy="4222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0.05pt;height:33.25pt;width:177.15pt;z-index:251663360;mso-width-relative:page;mso-height-relative:page;" filled="f" stroked="t" coordsize="21600,21600" o:gfxdata="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/7uvdUAAAAGAQAADwAAAAAAAAABACAAAAAiAAAAZHJzL2Rvd25yZXYueG1sUEsB&#10;AhQAFAAAAAgAh07iQNC/lFz4AQAA6Q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层级</w:t>
            </w:r>
          </w:p>
          <w:p>
            <w:pPr>
              <w:spacing w:line="33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分值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等次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国家级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省级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市级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县级</w:t>
            </w:r>
          </w:p>
        </w:tc>
        <w:tc>
          <w:tcPr>
            <w:tcW w:w="576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近10年（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12年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日）来，各学科优质课（课堂教学）评比、小学语文综合素养评比、音乐、美术、信息技术、体育学科基本功比赛县级二等奖以上，所获奖项以教研部门认定为准。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优质课</w:t>
            </w:r>
          </w:p>
          <w:p>
            <w:pPr>
              <w:spacing w:line="330" w:lineRule="exact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（基本功）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400" w:firstLineChars="200"/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400" w:firstLineChars="200"/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400" w:firstLineChars="200"/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作业设计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76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属个人获奖的直接赋分，属团队获奖的则个人只赋平均分（对应分值除以团队人数）。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多媒体教学大赛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76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近10年（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12年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 xml:space="preserve"> 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日）来，由电教馆组织的多媒体教学大赛县级二等奖以上。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宋体" w:hAnsi="宋体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576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宋体" w:hAnsi="宋体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ind w:firstLine="200" w:firstLineChars="100"/>
              <w:jc w:val="both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荣誉类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特级教师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省教坛新星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市名师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市教坛新星、市学科带头人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市骨干教师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县名师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县学科带头人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县骨干教师 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县名班主任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84" w:type="dxa"/>
            <w:vMerge w:val="continue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vMerge w:val="continue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1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7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36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43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051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67" w:type="dxa"/>
            <w:tcBorders>
              <w:bottom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4" w:type="dxa"/>
            <w:vMerge w:val="restart"/>
            <w:tcBorders>
              <w:top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eastAsia="zh-CN"/>
              </w:rPr>
              <w:t>综合表彰类</w:t>
            </w:r>
          </w:p>
        </w:tc>
        <w:tc>
          <w:tcPr>
            <w:tcW w:w="906" w:type="dxa"/>
            <w:vMerge w:val="restart"/>
            <w:tcBorders>
              <w:top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81" w:type="dxa"/>
            <w:gridSpan w:val="7"/>
            <w:tcBorders>
              <w:top w:val="doub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模范教师、优秀教师、优秀教育工作者、教育系统先进个人、优秀党员、优秀党务工作者、师德标兵、师德先进个人、优秀德育工作者、优秀德育课教师、最美教师、乡村好老师、乡村首席教师、优秀班主任、先进班集体、优秀少先队辅导员</w:t>
            </w:r>
          </w:p>
        </w:tc>
        <w:tc>
          <w:tcPr>
            <w:tcW w:w="1767" w:type="dxa"/>
            <w:vMerge w:val="restart"/>
            <w:tcBorders>
              <w:top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3年（2019年1月1日）来，由省、市、县教育主管部门以上表彰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6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  <w:t>县教育主管部门1分，县委县政府、市教育主管部门1.5分，市委市政府及省教育主管部门2分，省委省政府及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  <w:t>以上3分。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</w:tbl>
    <w:p>
      <w:pPr>
        <w:spacing w:line="300" w:lineRule="exact"/>
        <w:ind w:firstLine="180" w:firstLineChars="100"/>
        <w:jc w:val="left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说明：每一类型依分值最高的一项按等次分值记分；次高或第二最高项按等次分值的10%计分，其余不再计分；计分获奖（称号）项目仅限于上述表中所列名称类型。</w:t>
      </w:r>
    </w:p>
    <w:p>
      <w:pPr>
        <w:spacing w:line="440" w:lineRule="exact"/>
        <w:ind w:firstLine="217" w:firstLineChars="68"/>
        <w:jc w:val="left"/>
        <w:rPr>
          <w:rFonts w:ascii="黑体" w:hAnsi="黑体" w:eastAsia="黑体" w:cs="黑体"/>
          <w:bCs/>
          <w:color w:val="auto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pacing w:val="20"/>
          <w:sz w:val="28"/>
          <w:szCs w:val="28"/>
        </w:rPr>
        <w:t>二、操作办法</w:t>
      </w:r>
    </w:p>
    <w:p>
      <w:pPr>
        <w:spacing w:line="440" w:lineRule="exact"/>
        <w:ind w:firstLine="228" w:firstLineChars="100"/>
        <w:jc w:val="left"/>
        <w:rPr>
          <w:rFonts w:ascii="仿宋_GB2312" w:hAnsi="仿宋_GB2312" w:eastAsia="仿宋_GB2312" w:cs="仿宋_GB2312"/>
          <w:color w:val="auto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1.教师本人提供相关证件，由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4"/>
          <w:szCs w:val="24"/>
          <w:lang w:eastAsia="zh-CN"/>
        </w:rPr>
        <w:t>牵头部门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组织相关部门审核赋分； 2.各类表彰证件均需提供证书原件、表彰文件。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</w:rPr>
        <w:sectPr>
          <w:pgSz w:w="16838" w:h="11905" w:orient="landscape"/>
          <w:pgMar w:top="1134" w:right="1134" w:bottom="1134" w:left="113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3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pacing w:val="2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2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8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0"/>
          <w:kern w:val="0"/>
          <w:sz w:val="44"/>
          <w:szCs w:val="44"/>
          <w:shd w:val="clear" w:color="auto" w:fill="FFFFFF"/>
        </w:rPr>
        <w:t>乡镇教师向城区流动申请材料目录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 xml:space="preserve">单位（盖章）：        姓名：       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拟申请交流学校学段学科：</w:t>
      </w:r>
    </w:p>
    <w:tbl>
      <w:tblPr>
        <w:tblStyle w:val="5"/>
        <w:tblpPr w:leftFromText="180" w:rightFromText="180" w:vertAnchor="text" w:horzAnchor="page" w:tblpXSpec="center" w:tblpY="211"/>
        <w:tblOverlap w:val="never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976"/>
        <w:gridCol w:w="109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材料目录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件数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ab/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60" w:firstLineChars="200"/>
        <w:textAlignment w:val="auto"/>
        <w:rPr>
          <w:rFonts w:hint="eastAsia" w:ascii="华文楷体" w:hAnsi="华文楷体" w:eastAsia="华文楷体" w:cs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说明：按文件中“交流条件”规范整理。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60" w:firstLineChars="200"/>
        <w:rPr>
          <w:rFonts w:hint="eastAsia" w:ascii="华文楷体" w:hAnsi="华文楷体" w:eastAsia="华文楷体" w:cs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1、证件类：毕业证、教师资格证、身份证等。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60" w:firstLineChars="200"/>
        <w:rPr>
          <w:rFonts w:hint="eastAsia" w:ascii="华文楷体" w:hAnsi="华文楷体" w:eastAsia="华文楷体" w:cs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2、荣誉类：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shd w:val="clear" w:color="auto" w:fill="FFFFFF"/>
        </w:rPr>
        <w:t>特级教师，市名师、学科带头人、骨干教师、教坛新星，县名师、学科带头人、骨干教师等。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60" w:firstLineChars="200"/>
        <w:textAlignment w:val="top"/>
        <w:rPr>
          <w:rFonts w:hint="eastAsia" w:ascii="华文楷体" w:hAnsi="华文楷体" w:eastAsia="华文楷体" w:cs="华文楷体"/>
          <w:color w:val="auto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8"/>
          <w:szCs w:val="28"/>
          <w:u w:color="000000"/>
        </w:rPr>
        <w:t>3、专业获奖类：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shd w:val="clear" w:color="auto" w:fill="FFFFFF"/>
        </w:rPr>
        <w:t>优质课、多媒体教学大赛等。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60" w:firstLineChars="200"/>
        <w:textAlignment w:val="top"/>
        <w:rPr>
          <w:rFonts w:hint="eastAsia" w:ascii="楷体" w:hAnsi="楷体" w:eastAsia="楷体" w:cs="楷体"/>
          <w:color w:val="auto"/>
          <w:sz w:val="28"/>
          <w:szCs w:val="24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8"/>
          <w:szCs w:val="28"/>
          <w:u w:color="000000"/>
        </w:rPr>
        <w:t>4、其他。</w:t>
      </w:r>
    </w:p>
    <w:tbl>
      <w:tblPr>
        <w:tblStyle w:val="5"/>
        <w:tblW w:w="8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212"/>
        <w:gridCol w:w="1182"/>
        <w:gridCol w:w="4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临泉县2022年城区学校选调教师岗位学科设置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2022年设岗数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设岗学科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临泉三中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英语2，音乐1，物理1，道法2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临泉四中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1，数学1，化学1，音乐1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临泉五中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1，历史1，生物1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临泉八中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数学1，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美术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临泉九中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信息技术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1，生物1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物理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1，道法1，英语1，音乐1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美术1，道法1，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城关中心校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1，数学1，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英语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1，科学1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城南中心校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2，语文1，体育1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城东中心校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2，美术1，英语1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田桥中心校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语文1，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2，科学1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迎仙路小学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2，数学1，美术1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2，英语3，音乐3，物理2，道法3，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2，历史1，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美术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1，数学2，信息1，化学1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5，数学8，英语2，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2，道法1，体育1，科学2，美术3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587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89CC1"/>
    <w:multiLevelType w:val="singleLevel"/>
    <w:tmpl w:val="8E789CC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2CB134"/>
    <w:multiLevelType w:val="singleLevel"/>
    <w:tmpl w:val="B42CB1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5F7496"/>
    <w:multiLevelType w:val="singleLevel"/>
    <w:tmpl w:val="C55F7496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TFmOGY0NWE1NDYyNzBmYTM2YTkyZmVhNjU0ODQifQ=="/>
  </w:docVars>
  <w:rsids>
    <w:rsidRoot w:val="29D92351"/>
    <w:rsid w:val="01A262A9"/>
    <w:rsid w:val="139B4AB5"/>
    <w:rsid w:val="1A5F5FEA"/>
    <w:rsid w:val="29D92351"/>
    <w:rsid w:val="34E65F14"/>
    <w:rsid w:val="45CE7360"/>
    <w:rsid w:val="5C687F1B"/>
    <w:rsid w:val="73252789"/>
    <w:rsid w:val="784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2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6795</Words>
  <Characters>7034</Characters>
  <Lines>0</Lines>
  <Paragraphs>0</Paragraphs>
  <TotalTime>9</TotalTime>
  <ScaleCrop>false</ScaleCrop>
  <LinksUpToDate>false</LinksUpToDate>
  <CharactersWithSpaces>7289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2022-07-04T03:56:00Z</dcterms:created>
  <dc:creator>牛双喜</dc:creator>
  <cp:lastModifiedBy>昆仑山</cp:lastModifiedBy>
  <cp:lastPrinted>2022-07-04T04:02:00Z</cp:lastPrinted>
  <dcterms:modified xsi:type="dcterms:W3CDTF">2022-07-05T09:17:21Z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AA245185987A45B2AC1202E6814928EA</vt:lpwstr>
  </property>
</Properties>
</file>