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shd w:val="clear" w:color="auto" w:fill="FFFFFF"/>
        <w:spacing w:before="0" w:beforeAutospacing="0" w:after="0" w:afterAutospacing="0"/>
        <w:rPr>
          <w:rFonts w:hint="eastAsia" w:cs="Arial"/>
          <w:color w:val="000000"/>
          <w:sz w:val="32"/>
          <w:szCs w:val="32"/>
          <w:shd w:val="clear" w:color="auto" w:fill="FFFFFF"/>
        </w:rPr>
      </w:pPr>
      <w:r>
        <w:rPr>
          <w:rFonts w:hint="eastAsia" w:cs="Arial"/>
          <w:color w:val="000000"/>
          <w:sz w:val="32"/>
          <w:szCs w:val="32"/>
          <w:shd w:val="clear" w:color="auto" w:fill="FFFFFF"/>
        </w:rPr>
        <w:t>附件1：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hint="eastAsia" w:cs="Arial"/>
          <w:color w:val="000000"/>
          <w:sz w:val="32"/>
          <w:szCs w:val="32"/>
          <w:shd w:val="clear" w:color="auto" w:fill="FFFFFF"/>
        </w:rPr>
        <w:t>湄洲湾职业技术学院2020年第二批人事代理公开招聘岗位条件情况一览表</w:t>
      </w:r>
    </w:p>
    <w:tbl>
      <w:tblPr>
        <w:tblStyle w:val="3"/>
        <w:tblW w:w="1390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601"/>
        <w:gridCol w:w="814"/>
        <w:gridCol w:w="1164"/>
        <w:gridCol w:w="1085"/>
        <w:gridCol w:w="945"/>
        <w:gridCol w:w="1326"/>
        <w:gridCol w:w="581"/>
        <w:gridCol w:w="680"/>
        <w:gridCol w:w="3847"/>
        <w:gridCol w:w="1656"/>
        <w:gridCol w:w="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23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1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1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64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85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945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132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81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847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65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笔试开考条件</w:t>
            </w:r>
          </w:p>
        </w:tc>
        <w:tc>
          <w:tcPr>
            <w:tcW w:w="67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面试形式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2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医学院专任教师</w:t>
            </w:r>
          </w:p>
        </w:tc>
        <w:tc>
          <w:tcPr>
            <w:tcW w:w="11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外科学、儿科学、护理学、护理</w:t>
            </w:r>
          </w:p>
        </w:tc>
        <w:tc>
          <w:tcPr>
            <w:tcW w:w="108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132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58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4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相关专业工作经验3年及以上（包括规培时间）。报名时上传工作证明(包含公章、时间、工作内容)。</w:t>
            </w:r>
          </w:p>
        </w:tc>
        <w:tc>
          <w:tcPr>
            <w:tcW w:w="165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岗位网络报名初审合格人数与岗位拟聘人数比例大于等于5:1，则该岗位增加笔试环节。网络报名初审合格人员即为参加笔试人员。若未达5:1，则直接进行面试。</w:t>
            </w:r>
          </w:p>
        </w:tc>
        <w:tc>
          <w:tcPr>
            <w:tcW w:w="67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片段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（10分钟）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52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体育教师2</w:t>
            </w:r>
          </w:p>
        </w:tc>
        <w:tc>
          <w:tcPr>
            <w:tcW w:w="11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体育学类</w:t>
            </w:r>
          </w:p>
        </w:tc>
        <w:tc>
          <w:tcPr>
            <w:tcW w:w="1085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本科生及以上</w:t>
            </w:r>
          </w:p>
        </w:tc>
        <w:tc>
          <w:tcPr>
            <w:tcW w:w="945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2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58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highlight w:val="none"/>
              </w:rPr>
              <w:t>足球专项，具备三年本专项工作经历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或省级及以上综合性比赛获奖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全国性单项比赛获奖。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</w:rPr>
              <w:t>硕士研究生及以上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kern w:val="0"/>
                <w:sz w:val="24"/>
                <w:szCs w:val="24"/>
              </w:rPr>
              <w:t>不限。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报名时须上传资格证书、工作证明（包含公章、时间、工作内容）或获奖证书</w:t>
            </w: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52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内科教师2</w:t>
            </w:r>
          </w:p>
        </w:tc>
        <w:tc>
          <w:tcPr>
            <w:tcW w:w="11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内科学、临床医学</w:t>
            </w:r>
          </w:p>
        </w:tc>
        <w:tc>
          <w:tcPr>
            <w:tcW w:w="108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680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4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中级及以上职称、临床工作经验5年及以上；硕士研究生及以上工作经验、职称不限。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  <w:t>报名时上传职称证书、工作证明（包含公章、时间、工作内容）。</w:t>
            </w:r>
          </w:p>
        </w:tc>
        <w:tc>
          <w:tcPr>
            <w:tcW w:w="1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合计：9人</w:t>
            </w:r>
          </w:p>
        </w:tc>
        <w:tc>
          <w:tcPr>
            <w:tcW w:w="384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62257"/>
    <w:rsid w:val="0F163F3E"/>
    <w:rsid w:val="1E7765E3"/>
    <w:rsid w:val="27462257"/>
    <w:rsid w:val="2D7D5198"/>
    <w:rsid w:val="3A9862AB"/>
    <w:rsid w:val="63E3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2020-12-07T06:43:00Z</dcterms:created>
  <dc:creator>劲阳</dc:creator>
  <cp:lastModifiedBy>dell</cp:lastModifiedBy>
  <cp:lastPrinted>2020-12-07T06:54:00Z</cp:lastPrinted>
  <dcterms:modified xsi:type="dcterms:W3CDTF">2020-12-08T02:59:26Z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