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  <w:t xml:space="preserve">附件3 </w:t>
      </w:r>
      <w:r>
        <w:rPr>
          <w:rFonts w:hint="eastAsia" w:ascii="方正小标宋_GBK" w:eastAsia="方正小标宋_GBK" w:cs="方正小标宋_GBK"/>
          <w:sz w:val="44"/>
          <w:szCs w:val="44"/>
        </w:rPr>
        <w:t>蒙城县20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中职</w:t>
      </w:r>
      <w:r>
        <w:rPr>
          <w:rFonts w:hint="eastAsia" w:ascii="方正小标宋_GBK" w:eastAsia="方正小标宋_GBK" w:cs="方正小标宋_GBK"/>
          <w:sz w:val="44"/>
          <w:szCs w:val="44"/>
        </w:rPr>
        <w:t>新任教师招聘体检表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92E0784"/>
    <w:rsid w:val="25164991"/>
    <w:rsid w:val="36C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Administrator</cp:lastModifiedBy>
  <cp:lastPrinted>2020-08-18T00:48:58Z</cp:lastPrinted>
  <dcterms:modified xsi:type="dcterms:W3CDTF">2020-08-18T00:50:05Z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